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89" w:rsidRDefault="008B0989" w:rsidP="008B0989">
      <w:pPr>
        <w:jc w:val="both"/>
        <w:rPr>
          <w:rFonts w:ascii="Arial" w:hAnsi="Arial" w:cs="Arial"/>
        </w:rPr>
      </w:pPr>
      <w:bookmarkStart w:id="0" w:name="_GoBack"/>
      <w:bookmarkEnd w:id="0"/>
    </w:p>
    <w:p w:rsidR="00573DB8" w:rsidRPr="006173FA" w:rsidRDefault="00573DB8" w:rsidP="00573DB8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173FA">
        <w:rPr>
          <w:rFonts w:ascii="Arial" w:hAnsi="Arial" w:cs="Arial"/>
          <w:sz w:val="22"/>
          <w:szCs w:val="22"/>
          <w:lang w:val="en"/>
        </w:rPr>
        <w:t>In December 2002, the</w:t>
      </w:r>
      <w:r w:rsidR="006173FA">
        <w:rPr>
          <w:rFonts w:ascii="Arial" w:hAnsi="Arial" w:cs="Arial"/>
          <w:sz w:val="22"/>
          <w:szCs w:val="22"/>
          <w:lang w:val="en"/>
        </w:rPr>
        <w:t xml:space="preserve"> Council of Australian Governments (COAG)</w:t>
      </w:r>
      <w:r w:rsidRPr="006173FA">
        <w:rPr>
          <w:rFonts w:ascii="Arial" w:hAnsi="Arial" w:cs="Arial"/>
          <w:sz w:val="22"/>
          <w:szCs w:val="22"/>
          <w:lang w:val="en"/>
        </w:rPr>
        <w:t xml:space="preserve"> agreed to a national review of the regulation, reporting and security surrounding the storage, sale and handling of hazardous materials.  The review was initiated to assist counter-terrorism efforts by limiting opportunities for, and enhancing detection of, the illegal/unauthorised use of hazardous materials, including ammonium nitrate; radiological sources; harmful biological materials; and hazardous chemicals.</w:t>
      </w:r>
    </w:p>
    <w:p w:rsidR="00573DB8" w:rsidRPr="006173FA" w:rsidRDefault="00573DB8" w:rsidP="00573DB8">
      <w:pPr>
        <w:jc w:val="both"/>
        <w:rPr>
          <w:rFonts w:ascii="Arial" w:hAnsi="Arial" w:cs="Arial"/>
          <w:sz w:val="22"/>
          <w:szCs w:val="22"/>
        </w:rPr>
      </w:pPr>
    </w:p>
    <w:p w:rsidR="00573DB8" w:rsidRPr="006173FA" w:rsidRDefault="00573DB8" w:rsidP="008B0989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173FA">
        <w:rPr>
          <w:rFonts w:ascii="Arial" w:hAnsi="Arial" w:cs="Arial"/>
          <w:sz w:val="22"/>
          <w:szCs w:val="22"/>
        </w:rPr>
        <w:t>A</w:t>
      </w:r>
      <w:r w:rsidR="008B0989" w:rsidRPr="006173FA">
        <w:rPr>
          <w:rFonts w:ascii="Arial" w:hAnsi="Arial" w:cs="Arial"/>
          <w:sz w:val="22"/>
          <w:szCs w:val="22"/>
        </w:rPr>
        <w:t xml:space="preserve"> Review of Radiological Material</w:t>
      </w:r>
      <w:r w:rsidR="006173FA">
        <w:rPr>
          <w:rFonts w:ascii="Arial" w:hAnsi="Arial" w:cs="Arial"/>
          <w:sz w:val="22"/>
          <w:szCs w:val="22"/>
        </w:rPr>
        <w:t>s</w:t>
      </w:r>
      <w:r w:rsidR="008B0989" w:rsidRPr="006173FA">
        <w:rPr>
          <w:rFonts w:ascii="Arial" w:hAnsi="Arial" w:cs="Arial"/>
          <w:sz w:val="22"/>
          <w:szCs w:val="22"/>
        </w:rPr>
        <w:t xml:space="preserve"> </w:t>
      </w:r>
      <w:r w:rsidRPr="006173FA">
        <w:rPr>
          <w:rFonts w:ascii="Arial" w:hAnsi="Arial" w:cs="Arial"/>
          <w:sz w:val="22"/>
          <w:szCs w:val="22"/>
        </w:rPr>
        <w:t xml:space="preserve">was undertaken </w:t>
      </w:r>
      <w:r w:rsidR="006173FA">
        <w:rPr>
          <w:rFonts w:ascii="Arial" w:hAnsi="Arial" w:cs="Arial"/>
          <w:sz w:val="22"/>
          <w:szCs w:val="22"/>
        </w:rPr>
        <w:t xml:space="preserve">to identify means for limiting the misuse of radiological materials that pose a security risk.  At the conclusion of this review, a Report on the Regulation and Control of Radiological Material was released in November </w:t>
      </w:r>
      <w:r w:rsidRPr="006173FA">
        <w:rPr>
          <w:rFonts w:ascii="Arial" w:hAnsi="Arial" w:cs="Arial"/>
          <w:sz w:val="22"/>
          <w:szCs w:val="22"/>
        </w:rPr>
        <w:t>200</w:t>
      </w:r>
      <w:r w:rsidR="006173FA">
        <w:rPr>
          <w:rFonts w:ascii="Arial" w:hAnsi="Arial" w:cs="Arial"/>
          <w:sz w:val="22"/>
          <w:szCs w:val="22"/>
        </w:rPr>
        <w:t>6</w:t>
      </w:r>
      <w:r w:rsidRPr="006173FA">
        <w:rPr>
          <w:rFonts w:ascii="Arial" w:hAnsi="Arial" w:cs="Arial"/>
          <w:sz w:val="22"/>
          <w:szCs w:val="22"/>
        </w:rPr>
        <w:t>.</w:t>
      </w:r>
    </w:p>
    <w:p w:rsidR="00573DB8" w:rsidRPr="006173FA" w:rsidRDefault="00573DB8" w:rsidP="00573DB8">
      <w:pPr>
        <w:jc w:val="both"/>
        <w:rPr>
          <w:rFonts w:ascii="Arial" w:hAnsi="Arial" w:cs="Arial"/>
          <w:sz w:val="22"/>
          <w:szCs w:val="22"/>
        </w:rPr>
      </w:pPr>
    </w:p>
    <w:p w:rsidR="006173FA" w:rsidRPr="006173FA" w:rsidRDefault="00573DB8" w:rsidP="006173FA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auto"/>
          <w:sz w:val="22"/>
          <w:szCs w:val="22"/>
          <w:lang w:val="en"/>
        </w:rPr>
      </w:pPr>
      <w:r w:rsidRPr="006173FA">
        <w:rPr>
          <w:rFonts w:ascii="Arial" w:hAnsi="Arial" w:cs="Arial"/>
          <w:sz w:val="22"/>
          <w:szCs w:val="22"/>
        </w:rPr>
        <w:t>O</w:t>
      </w:r>
      <w:r w:rsidR="006173FA">
        <w:rPr>
          <w:rFonts w:ascii="Arial" w:hAnsi="Arial" w:cs="Arial"/>
          <w:sz w:val="22"/>
          <w:szCs w:val="22"/>
        </w:rPr>
        <w:t>n</w:t>
      </w:r>
      <w:r w:rsidRPr="006173F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date">
        <w:smartTagPr>
          <w:attr w:name="Month" w:val="4"/>
          <w:attr w:name="Day" w:val="13"/>
          <w:attr w:name="Year" w:val="2007"/>
        </w:smartTagPr>
        <w:r w:rsidRPr="006173FA">
          <w:rPr>
            <w:rFonts w:ascii="Arial" w:hAnsi="Arial" w:cs="Arial"/>
            <w:sz w:val="22"/>
            <w:szCs w:val="22"/>
          </w:rPr>
          <w:t>13 April</w:t>
        </w:r>
        <w:r w:rsidR="006173FA">
          <w:rPr>
            <w:rFonts w:ascii="Arial" w:hAnsi="Arial" w:cs="Arial"/>
            <w:sz w:val="22"/>
            <w:szCs w:val="22"/>
          </w:rPr>
          <w:t xml:space="preserve"> 2007</w:t>
        </w:r>
      </w:smartTag>
      <w:r w:rsidRPr="006173FA">
        <w:rPr>
          <w:rFonts w:ascii="Arial" w:hAnsi="Arial" w:cs="Arial"/>
          <w:sz w:val="22"/>
          <w:szCs w:val="22"/>
        </w:rPr>
        <w:t>, C</w:t>
      </w:r>
      <w:r w:rsidR="006173FA">
        <w:rPr>
          <w:rFonts w:ascii="Arial" w:hAnsi="Arial" w:cs="Arial"/>
          <w:sz w:val="22"/>
          <w:szCs w:val="22"/>
        </w:rPr>
        <w:t>O</w:t>
      </w:r>
      <w:r w:rsidRPr="006173FA">
        <w:rPr>
          <w:rFonts w:ascii="Arial" w:hAnsi="Arial" w:cs="Arial"/>
          <w:sz w:val="22"/>
          <w:szCs w:val="22"/>
        </w:rPr>
        <w:t xml:space="preserve">AG agreed to a National Chemical, Biological, Radiological and Nuclear Security Strategy to strengthen and enhance </w:t>
      </w:r>
      <w:smartTag w:uri="urn:schemas-microsoft-com:office:smarttags" w:element="country-region">
        <w:smartTag w:uri="urn:schemas-microsoft-com:office:smarttags" w:element="place">
          <w:r w:rsidRPr="006173FA">
            <w:rPr>
              <w:rFonts w:ascii="Arial" w:hAnsi="Arial" w:cs="Arial"/>
              <w:sz w:val="22"/>
              <w:szCs w:val="22"/>
            </w:rPr>
            <w:t>Australia</w:t>
          </w:r>
        </w:smartTag>
      </w:smartTag>
      <w:r w:rsidRPr="006173FA">
        <w:rPr>
          <w:rFonts w:ascii="Arial" w:hAnsi="Arial" w:cs="Arial"/>
          <w:sz w:val="22"/>
          <w:szCs w:val="22"/>
        </w:rPr>
        <w:t>’s existing national counter-terrorism arrangements.</w:t>
      </w:r>
      <w:r w:rsidR="006173FA">
        <w:rPr>
          <w:rFonts w:ascii="Arial" w:hAnsi="Arial" w:cs="Arial"/>
          <w:sz w:val="22"/>
          <w:szCs w:val="22"/>
        </w:rPr>
        <w:t xml:space="preserve">  </w:t>
      </w:r>
      <w:r w:rsidRPr="006173FA">
        <w:rPr>
          <w:rFonts w:ascii="Arial" w:hAnsi="Arial" w:cs="Arial"/>
          <w:sz w:val="22"/>
          <w:szCs w:val="22"/>
        </w:rPr>
        <w:t>As part of this strategy COAG also agreed that the recommendations of the Review of Radiological Material</w:t>
      </w:r>
      <w:r w:rsidR="006C43C4">
        <w:rPr>
          <w:rFonts w:ascii="Arial" w:hAnsi="Arial" w:cs="Arial"/>
          <w:sz w:val="22"/>
          <w:szCs w:val="22"/>
        </w:rPr>
        <w:t>s</w:t>
      </w:r>
      <w:r w:rsidRPr="006173FA">
        <w:rPr>
          <w:rFonts w:ascii="Arial" w:hAnsi="Arial" w:cs="Arial"/>
          <w:sz w:val="22"/>
          <w:szCs w:val="22"/>
        </w:rPr>
        <w:t xml:space="preserve"> be implemented to </w:t>
      </w:r>
      <w:r w:rsidR="008B0989" w:rsidRPr="006173FA">
        <w:rPr>
          <w:rFonts w:ascii="Arial" w:hAnsi="Arial" w:cs="Arial"/>
          <w:sz w:val="22"/>
          <w:szCs w:val="22"/>
        </w:rPr>
        <w:t xml:space="preserve">ensure that </w:t>
      </w:r>
      <w:r w:rsidRPr="006173FA">
        <w:rPr>
          <w:rFonts w:ascii="Arial" w:hAnsi="Arial" w:cs="Arial"/>
          <w:sz w:val="22"/>
          <w:szCs w:val="22"/>
        </w:rPr>
        <w:t>each jurisdiction’s</w:t>
      </w:r>
      <w:r w:rsidR="008B0989" w:rsidRPr="006173FA">
        <w:rPr>
          <w:rFonts w:ascii="Arial" w:hAnsi="Arial" w:cs="Arial"/>
          <w:sz w:val="22"/>
          <w:szCs w:val="22"/>
        </w:rPr>
        <w:t xml:space="preserve"> radiation safety legislation </w:t>
      </w:r>
      <w:r w:rsidR="006C43C4">
        <w:rPr>
          <w:rFonts w:ascii="Arial" w:hAnsi="Arial" w:cs="Arial"/>
          <w:sz w:val="22"/>
          <w:szCs w:val="22"/>
        </w:rPr>
        <w:t xml:space="preserve">provides </w:t>
      </w:r>
      <w:r w:rsidR="008B0989" w:rsidRPr="006173FA">
        <w:rPr>
          <w:rFonts w:ascii="Arial" w:hAnsi="Arial" w:cs="Arial"/>
          <w:sz w:val="22"/>
          <w:szCs w:val="22"/>
        </w:rPr>
        <w:t xml:space="preserve">the required legal basis to  regulate the </w:t>
      </w:r>
      <w:r w:rsidR="006173FA" w:rsidRPr="006173FA">
        <w:rPr>
          <w:rFonts w:ascii="Arial" w:hAnsi="Arial" w:cs="Arial"/>
          <w:color w:val="auto"/>
          <w:sz w:val="22"/>
          <w:szCs w:val="22"/>
          <w:lang w:val="en"/>
        </w:rPr>
        <w:t>secure storage, possession, use and transport of certain radiological materials to minimise the risk that such material can be misused by terrorists.</w:t>
      </w:r>
    </w:p>
    <w:p w:rsidR="008B0989" w:rsidRPr="006173FA" w:rsidRDefault="008B0989" w:rsidP="008B0989">
      <w:pPr>
        <w:jc w:val="both"/>
        <w:rPr>
          <w:rFonts w:ascii="Arial" w:hAnsi="Arial" w:cs="Arial"/>
          <w:sz w:val="22"/>
          <w:szCs w:val="22"/>
        </w:rPr>
      </w:pPr>
    </w:p>
    <w:p w:rsidR="006173FA" w:rsidRPr="006173FA" w:rsidRDefault="008B0989" w:rsidP="006173FA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173FA">
        <w:rPr>
          <w:rFonts w:ascii="Arial" w:hAnsi="Arial" w:cs="Arial"/>
          <w:sz w:val="22"/>
          <w:szCs w:val="22"/>
        </w:rPr>
        <w:t xml:space="preserve">In </w:t>
      </w:r>
      <w:smartTag w:uri="urn:schemas-microsoft-com:office:smarttags" w:element="State">
        <w:smartTag w:uri="urn:schemas-microsoft-com:office:smarttags" w:element="place">
          <w:r w:rsidRPr="006173FA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6173FA">
        <w:rPr>
          <w:rFonts w:ascii="Arial" w:hAnsi="Arial" w:cs="Arial"/>
          <w:sz w:val="22"/>
          <w:szCs w:val="22"/>
        </w:rPr>
        <w:t>, the principal piece of legislation that regulates the possession, use,</w:t>
      </w:r>
      <w:r w:rsidR="006C43C4">
        <w:rPr>
          <w:rFonts w:ascii="Arial" w:hAnsi="Arial" w:cs="Arial"/>
          <w:sz w:val="22"/>
          <w:szCs w:val="22"/>
        </w:rPr>
        <w:t xml:space="preserve"> acquisition, </w:t>
      </w:r>
      <w:r w:rsidRPr="006173FA">
        <w:rPr>
          <w:rFonts w:ascii="Arial" w:hAnsi="Arial" w:cs="Arial"/>
          <w:sz w:val="22"/>
          <w:szCs w:val="22"/>
        </w:rPr>
        <w:t xml:space="preserve"> </w:t>
      </w:r>
      <w:r w:rsidR="006C43C4">
        <w:rPr>
          <w:rFonts w:ascii="Arial" w:hAnsi="Arial" w:cs="Arial"/>
          <w:sz w:val="22"/>
          <w:szCs w:val="22"/>
        </w:rPr>
        <w:t xml:space="preserve">relocation, </w:t>
      </w:r>
      <w:r w:rsidRPr="006173FA">
        <w:rPr>
          <w:rFonts w:ascii="Arial" w:hAnsi="Arial" w:cs="Arial"/>
          <w:sz w:val="22"/>
          <w:szCs w:val="22"/>
        </w:rPr>
        <w:t xml:space="preserve">disposal and transportation of radiation sources is the </w:t>
      </w:r>
      <w:r w:rsidRPr="006173FA">
        <w:rPr>
          <w:rFonts w:ascii="Arial" w:hAnsi="Arial" w:cs="Arial"/>
          <w:i/>
          <w:sz w:val="22"/>
          <w:szCs w:val="22"/>
        </w:rPr>
        <w:t>Radiation Safety Act 1999.</w:t>
      </w:r>
    </w:p>
    <w:p w:rsidR="006173FA" w:rsidRPr="006173FA" w:rsidRDefault="006173FA" w:rsidP="006173FA">
      <w:pPr>
        <w:jc w:val="both"/>
        <w:rPr>
          <w:rFonts w:ascii="Arial" w:hAnsi="Arial" w:cs="Arial"/>
          <w:sz w:val="22"/>
          <w:szCs w:val="22"/>
        </w:rPr>
      </w:pPr>
    </w:p>
    <w:p w:rsidR="006173FA" w:rsidRPr="006173FA" w:rsidRDefault="006C43C4" w:rsidP="006173FA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B0989" w:rsidRPr="006173FA">
        <w:rPr>
          <w:rFonts w:ascii="Arial" w:hAnsi="Arial" w:cs="Arial"/>
          <w:sz w:val="22"/>
          <w:szCs w:val="22"/>
        </w:rPr>
        <w:t>Radiation Safety Amendment Bill 2009 ha</w:t>
      </w:r>
      <w:r w:rsidR="006173FA" w:rsidRPr="006173FA">
        <w:rPr>
          <w:rFonts w:ascii="Arial" w:hAnsi="Arial" w:cs="Arial"/>
          <w:sz w:val="22"/>
          <w:szCs w:val="22"/>
        </w:rPr>
        <w:t xml:space="preserve">s </w:t>
      </w:r>
      <w:r w:rsidR="008B0989" w:rsidRPr="006173FA">
        <w:rPr>
          <w:rFonts w:ascii="Arial" w:hAnsi="Arial" w:cs="Arial"/>
          <w:sz w:val="22"/>
          <w:szCs w:val="22"/>
        </w:rPr>
        <w:t xml:space="preserve">been prepared to </w:t>
      </w:r>
      <w:r>
        <w:rPr>
          <w:rFonts w:ascii="Arial" w:hAnsi="Arial" w:cs="Arial"/>
          <w:sz w:val="22"/>
          <w:szCs w:val="22"/>
        </w:rPr>
        <w:t xml:space="preserve">amend the </w:t>
      </w:r>
      <w:r w:rsidRPr="006C43C4">
        <w:rPr>
          <w:rFonts w:ascii="Arial" w:hAnsi="Arial" w:cs="Arial"/>
          <w:i/>
          <w:sz w:val="22"/>
          <w:szCs w:val="22"/>
        </w:rPr>
        <w:t>Radiation Safety Act</w:t>
      </w:r>
      <w:r>
        <w:rPr>
          <w:rFonts w:ascii="Arial" w:hAnsi="Arial" w:cs="Arial"/>
          <w:i/>
          <w:sz w:val="22"/>
          <w:szCs w:val="22"/>
        </w:rPr>
        <w:t xml:space="preserve"> 1999</w:t>
      </w:r>
      <w:r w:rsidRPr="006C43C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="008B0989" w:rsidRPr="006173FA">
        <w:rPr>
          <w:rFonts w:ascii="Arial" w:hAnsi="Arial" w:cs="Arial"/>
          <w:sz w:val="22"/>
          <w:szCs w:val="22"/>
        </w:rPr>
        <w:t xml:space="preserve">give effect to </w:t>
      </w:r>
      <w:r>
        <w:rPr>
          <w:rFonts w:ascii="Arial" w:hAnsi="Arial" w:cs="Arial"/>
          <w:sz w:val="22"/>
          <w:szCs w:val="22"/>
        </w:rPr>
        <w:t xml:space="preserve">COAG’s decision that each jurisdiction </w:t>
      </w:r>
      <w:r w:rsidR="006173FA" w:rsidRPr="006173FA">
        <w:rPr>
          <w:rFonts w:ascii="Arial" w:hAnsi="Arial" w:cs="Arial"/>
          <w:sz w:val="22"/>
          <w:szCs w:val="22"/>
        </w:rPr>
        <w:t>implement a range of security measures to decrease the risk of persons being able to gain unauthorised access to, or acquisition of, a radioactive source for malicious purposes</w:t>
      </w:r>
      <w:r w:rsidR="006173FA" w:rsidRPr="006173FA">
        <w:rPr>
          <w:sz w:val="22"/>
          <w:szCs w:val="22"/>
        </w:rPr>
        <w:t xml:space="preserve">. </w:t>
      </w:r>
    </w:p>
    <w:p w:rsidR="006173FA" w:rsidRPr="006173FA" w:rsidRDefault="006173FA" w:rsidP="006173F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173FA" w:rsidRPr="006173FA" w:rsidRDefault="002E287D" w:rsidP="006173FA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173FA">
        <w:rPr>
          <w:rFonts w:ascii="Arial" w:hAnsi="Arial" w:cs="Arial"/>
          <w:sz w:val="22"/>
          <w:szCs w:val="22"/>
          <w:u w:val="single"/>
        </w:rPr>
        <w:t>Cabinet approved</w:t>
      </w:r>
      <w:r w:rsidR="006C35FD" w:rsidRPr="006173FA">
        <w:rPr>
          <w:rFonts w:ascii="Arial" w:hAnsi="Arial" w:cs="Arial"/>
          <w:sz w:val="22"/>
          <w:szCs w:val="22"/>
        </w:rPr>
        <w:t xml:space="preserve"> th</w:t>
      </w:r>
      <w:r w:rsidR="008B0989" w:rsidRPr="006173FA">
        <w:rPr>
          <w:rFonts w:ascii="Arial" w:hAnsi="Arial" w:cs="Arial"/>
          <w:sz w:val="22"/>
          <w:szCs w:val="22"/>
        </w:rPr>
        <w:t xml:space="preserve">at the </w:t>
      </w:r>
      <w:r w:rsidR="006C35FD" w:rsidRPr="006173FA">
        <w:rPr>
          <w:rFonts w:ascii="Arial" w:hAnsi="Arial" w:cs="Arial"/>
          <w:sz w:val="22"/>
          <w:szCs w:val="22"/>
        </w:rPr>
        <w:t>Radiation Safety Amendment Bill 2009</w:t>
      </w:r>
      <w:r w:rsidR="008B0989" w:rsidRPr="006173FA">
        <w:rPr>
          <w:rFonts w:ascii="Arial" w:hAnsi="Arial" w:cs="Arial"/>
          <w:sz w:val="22"/>
          <w:szCs w:val="22"/>
        </w:rPr>
        <w:t xml:space="preserve"> be introduced into the Legislative Assembly.</w:t>
      </w:r>
    </w:p>
    <w:p w:rsidR="006173FA" w:rsidRPr="006173FA" w:rsidRDefault="006173FA" w:rsidP="005F4920">
      <w:pPr>
        <w:spacing w:before="12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2E287D" w:rsidRPr="006173FA" w:rsidRDefault="002E287D" w:rsidP="006173FA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173FA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C35FD" w:rsidRPr="006173FA" w:rsidRDefault="00636355" w:rsidP="002E287D">
      <w:pPr>
        <w:numPr>
          <w:ilvl w:val="0"/>
          <w:numId w:val="44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6C35FD" w:rsidRPr="005F4920">
          <w:rPr>
            <w:rStyle w:val="Hyperlink"/>
            <w:rFonts w:ascii="Arial" w:hAnsi="Arial" w:cs="Arial"/>
            <w:sz w:val="22"/>
            <w:szCs w:val="22"/>
          </w:rPr>
          <w:t xml:space="preserve">Radiation Safety Amendment </w:t>
        </w:r>
        <w:r w:rsidR="006A1FA0" w:rsidRPr="005F4920">
          <w:rPr>
            <w:rStyle w:val="Hyperlink"/>
            <w:rFonts w:ascii="Arial" w:hAnsi="Arial" w:cs="Arial"/>
            <w:sz w:val="22"/>
            <w:szCs w:val="22"/>
          </w:rPr>
          <w:t xml:space="preserve">Bill </w:t>
        </w:r>
        <w:r w:rsidR="006C35FD" w:rsidRPr="005F4920">
          <w:rPr>
            <w:rStyle w:val="Hyperlink"/>
            <w:rFonts w:ascii="Arial" w:hAnsi="Arial" w:cs="Arial"/>
            <w:sz w:val="22"/>
            <w:szCs w:val="22"/>
          </w:rPr>
          <w:t>2009</w:t>
        </w:r>
      </w:hyperlink>
    </w:p>
    <w:p w:rsidR="002E287D" w:rsidRPr="005F4920" w:rsidRDefault="00636355" w:rsidP="002E287D">
      <w:pPr>
        <w:numPr>
          <w:ilvl w:val="0"/>
          <w:numId w:val="44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6A1FA0" w:rsidRPr="005F4920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2E287D" w:rsidRPr="005F4920" w:rsidSect="005F4920">
      <w:headerReference w:type="default" r:id="rId9"/>
      <w:footerReference w:type="default" r:id="rId10"/>
      <w:headerReference w:type="first" r:id="rId11"/>
      <w:pgSz w:w="11907" w:h="16840" w:code="9"/>
      <w:pgMar w:top="1418" w:right="1418" w:bottom="1191" w:left="1418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24B" w:rsidRDefault="00B9424B">
      <w:r>
        <w:separator/>
      </w:r>
    </w:p>
  </w:endnote>
  <w:endnote w:type="continuationSeparator" w:id="0">
    <w:p w:rsidR="00B9424B" w:rsidRDefault="00B9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4E" w:rsidRPr="001141E1" w:rsidRDefault="00B46A4E" w:rsidP="00B46A4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24B" w:rsidRDefault="00B9424B">
      <w:r>
        <w:separator/>
      </w:r>
    </w:p>
  </w:footnote>
  <w:footnote w:type="continuationSeparator" w:id="0">
    <w:p w:rsidR="00B9424B" w:rsidRDefault="00B94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4E" w:rsidRPr="000400F9" w:rsidRDefault="00363BB1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2" name="Picture 1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A4E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46A4E">
      <w:rPr>
        <w:rFonts w:ascii="Arial" w:hAnsi="Arial" w:cs="Arial"/>
        <w:b/>
        <w:sz w:val="22"/>
        <w:szCs w:val="22"/>
        <w:u w:val="single"/>
      </w:rPr>
      <w:t>month year</w:t>
    </w:r>
  </w:p>
  <w:p w:rsidR="00B46A4E" w:rsidRDefault="00B46A4E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B46A4E" w:rsidRDefault="00B46A4E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B46A4E" w:rsidRPr="00F10DF9" w:rsidRDefault="00B46A4E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A0" w:rsidRPr="000400F9" w:rsidRDefault="00363BB1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3" name="Picture 13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FA0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131A6C">
      <w:rPr>
        <w:rFonts w:ascii="Arial" w:hAnsi="Arial" w:cs="Arial"/>
        <w:b/>
        <w:sz w:val="22"/>
        <w:szCs w:val="22"/>
        <w:u w:val="single"/>
      </w:rPr>
      <w:t>November 2009</w:t>
    </w:r>
  </w:p>
  <w:p w:rsidR="006A1FA0" w:rsidRDefault="00131A6C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Radiation Safety Amendment Bill</w:t>
    </w:r>
    <w:r w:rsidR="00D030A2">
      <w:rPr>
        <w:rFonts w:ascii="Arial" w:hAnsi="Arial" w:cs="Arial"/>
        <w:b/>
        <w:sz w:val="22"/>
        <w:szCs w:val="22"/>
        <w:u w:val="single"/>
      </w:rPr>
      <w:t xml:space="preserve"> 2009</w:t>
    </w:r>
  </w:p>
  <w:p w:rsidR="006A1FA0" w:rsidRDefault="00131A6C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 and Minister for Health</w:t>
    </w:r>
  </w:p>
  <w:p w:rsidR="006A1FA0" w:rsidRPr="00F10DF9" w:rsidRDefault="006A1FA0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24DB5"/>
    <w:multiLevelType w:val="hybridMultilevel"/>
    <w:tmpl w:val="BB82F2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67703"/>
    <w:multiLevelType w:val="hybridMultilevel"/>
    <w:tmpl w:val="23C23D12"/>
    <w:lvl w:ilvl="0" w:tplc="3B26922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9D44293"/>
    <w:multiLevelType w:val="multilevel"/>
    <w:tmpl w:val="A778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2E4BDC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426ED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2A03B59"/>
    <w:multiLevelType w:val="hybridMultilevel"/>
    <w:tmpl w:val="7650407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7364F0"/>
    <w:multiLevelType w:val="hybridMultilevel"/>
    <w:tmpl w:val="312CCA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2B22F2F"/>
    <w:multiLevelType w:val="multilevel"/>
    <w:tmpl w:val="71CA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EA576A"/>
    <w:multiLevelType w:val="hybridMultilevel"/>
    <w:tmpl w:val="6D1A0F46"/>
    <w:lvl w:ilvl="0" w:tplc="B532E7C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C3A12"/>
    <w:multiLevelType w:val="hybridMultilevel"/>
    <w:tmpl w:val="C5D28298"/>
    <w:lvl w:ilvl="0" w:tplc="E63C401C">
      <w:start w:val="1"/>
      <w:numFmt w:val="decimal"/>
      <w:lvlText w:val="ATTACHMENT %1:"/>
      <w:lvlJc w:val="left"/>
      <w:pPr>
        <w:tabs>
          <w:tab w:val="num" w:pos="4335"/>
        </w:tabs>
        <w:ind w:left="4335" w:hanging="3975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FA3819"/>
    <w:multiLevelType w:val="multilevel"/>
    <w:tmpl w:val="9700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79489D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5414B27"/>
    <w:multiLevelType w:val="multilevel"/>
    <w:tmpl w:val="312CC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7455A01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011D50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0B0B4F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7" w15:restartNumberingAfterBreak="0">
    <w:nsid w:val="5AF65E16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87A5E10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A2334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E5C1AB2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5BE4382"/>
    <w:multiLevelType w:val="hybridMultilevel"/>
    <w:tmpl w:val="EDCE97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6B67378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3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6B259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9661B35"/>
    <w:multiLevelType w:val="hybridMultilevel"/>
    <w:tmpl w:val="4F0E5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26922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24"/>
  </w:num>
  <w:num w:numId="4">
    <w:abstractNumId w:val="38"/>
  </w:num>
  <w:num w:numId="5">
    <w:abstractNumId w:val="18"/>
  </w:num>
  <w:num w:numId="6">
    <w:abstractNumId w:val="35"/>
  </w:num>
  <w:num w:numId="7">
    <w:abstractNumId w:val="7"/>
  </w:num>
  <w:num w:numId="8">
    <w:abstractNumId w:val="29"/>
  </w:num>
  <w:num w:numId="9">
    <w:abstractNumId w:val="27"/>
  </w:num>
  <w:num w:numId="10">
    <w:abstractNumId w:val="22"/>
  </w:num>
  <w:num w:numId="11">
    <w:abstractNumId w:val="8"/>
  </w:num>
  <w:num w:numId="12">
    <w:abstractNumId w:val="31"/>
  </w:num>
  <w:num w:numId="13">
    <w:abstractNumId w:val="23"/>
  </w:num>
  <w:num w:numId="14">
    <w:abstractNumId w:val="26"/>
  </w:num>
  <w:num w:numId="15">
    <w:abstractNumId w:val="36"/>
  </w:num>
  <w:num w:numId="16">
    <w:abstractNumId w:val="26"/>
  </w:num>
  <w:num w:numId="17">
    <w:abstractNumId w:val="5"/>
  </w:num>
  <w:num w:numId="18">
    <w:abstractNumId w:val="21"/>
  </w:num>
  <w:num w:numId="19">
    <w:abstractNumId w:val="1"/>
  </w:num>
  <w:num w:numId="20">
    <w:abstractNumId w:val="16"/>
  </w:num>
  <w:num w:numId="21">
    <w:abstractNumId w:val="1"/>
  </w:num>
  <w:num w:numId="22">
    <w:abstractNumId w:val="36"/>
  </w:num>
  <w:num w:numId="23">
    <w:abstractNumId w:val="26"/>
  </w:num>
  <w:num w:numId="24">
    <w:abstractNumId w:val="5"/>
  </w:num>
  <w:num w:numId="25">
    <w:abstractNumId w:val="21"/>
  </w:num>
  <w:num w:numId="26">
    <w:abstractNumId w:val="2"/>
  </w:num>
  <w:num w:numId="27">
    <w:abstractNumId w:val="32"/>
  </w:num>
  <w:num w:numId="28">
    <w:abstractNumId w:val="12"/>
  </w:num>
  <w:num w:numId="29">
    <w:abstractNumId w:val="39"/>
  </w:num>
  <w:num w:numId="30">
    <w:abstractNumId w:val="15"/>
  </w:num>
  <w:num w:numId="31">
    <w:abstractNumId w:val="10"/>
  </w:num>
  <w:num w:numId="32">
    <w:abstractNumId w:val="9"/>
  </w:num>
  <w:num w:numId="33">
    <w:abstractNumId w:val="25"/>
  </w:num>
  <w:num w:numId="34">
    <w:abstractNumId w:val="30"/>
  </w:num>
  <w:num w:numId="35">
    <w:abstractNumId w:val="33"/>
  </w:num>
  <w:num w:numId="36">
    <w:abstractNumId w:val="11"/>
  </w:num>
  <w:num w:numId="37">
    <w:abstractNumId w:val="34"/>
  </w:num>
  <w:num w:numId="38">
    <w:abstractNumId w:val="20"/>
  </w:num>
  <w:num w:numId="39">
    <w:abstractNumId w:val="19"/>
  </w:num>
  <w:num w:numId="40">
    <w:abstractNumId w:val="17"/>
  </w:num>
  <w:num w:numId="41">
    <w:abstractNumId w:val="6"/>
  </w:num>
  <w:num w:numId="42">
    <w:abstractNumId w:val="14"/>
  </w:num>
  <w:num w:numId="43">
    <w:abstractNumId w:val="40"/>
  </w:num>
  <w:num w:numId="44">
    <w:abstractNumId w:val="37"/>
  </w:num>
  <w:num w:numId="45">
    <w:abstractNumId w:val="4"/>
  </w:num>
  <w:num w:numId="46">
    <w:abstractNumId w:val="13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81"/>
    <w:rsid w:val="000004B1"/>
    <w:rsid w:val="000436E5"/>
    <w:rsid w:val="000455EC"/>
    <w:rsid w:val="0005520C"/>
    <w:rsid w:val="00060480"/>
    <w:rsid w:val="000851A4"/>
    <w:rsid w:val="000C1404"/>
    <w:rsid w:val="000E20D0"/>
    <w:rsid w:val="000F1AB6"/>
    <w:rsid w:val="00131A6C"/>
    <w:rsid w:val="00146E1B"/>
    <w:rsid w:val="00152B45"/>
    <w:rsid w:val="00180EDB"/>
    <w:rsid w:val="00186FC3"/>
    <w:rsid w:val="00187946"/>
    <w:rsid w:val="00191566"/>
    <w:rsid w:val="001C5C47"/>
    <w:rsid w:val="001C762C"/>
    <w:rsid w:val="001F02E8"/>
    <w:rsid w:val="00252E60"/>
    <w:rsid w:val="002676EC"/>
    <w:rsid w:val="002806B7"/>
    <w:rsid w:val="0029502A"/>
    <w:rsid w:val="002B02FD"/>
    <w:rsid w:val="002D4245"/>
    <w:rsid w:val="002E287D"/>
    <w:rsid w:val="003046FE"/>
    <w:rsid w:val="00310F46"/>
    <w:rsid w:val="00312AA0"/>
    <w:rsid w:val="00355094"/>
    <w:rsid w:val="00360FD6"/>
    <w:rsid w:val="00361B46"/>
    <w:rsid w:val="00363BB1"/>
    <w:rsid w:val="00392ABB"/>
    <w:rsid w:val="003C5FA2"/>
    <w:rsid w:val="004367D0"/>
    <w:rsid w:val="00451A6D"/>
    <w:rsid w:val="0045700A"/>
    <w:rsid w:val="004635C1"/>
    <w:rsid w:val="00467A1F"/>
    <w:rsid w:val="00485E0A"/>
    <w:rsid w:val="0049232B"/>
    <w:rsid w:val="004C565F"/>
    <w:rsid w:val="004C5A54"/>
    <w:rsid w:val="004C77C4"/>
    <w:rsid w:val="004D1050"/>
    <w:rsid w:val="004D1AEE"/>
    <w:rsid w:val="00515706"/>
    <w:rsid w:val="00522272"/>
    <w:rsid w:val="00540C7B"/>
    <w:rsid w:val="005535C5"/>
    <w:rsid w:val="00560F27"/>
    <w:rsid w:val="0056466F"/>
    <w:rsid w:val="00573DB8"/>
    <w:rsid w:val="00591C4E"/>
    <w:rsid w:val="00595143"/>
    <w:rsid w:val="0059637D"/>
    <w:rsid w:val="005A2C11"/>
    <w:rsid w:val="005A5013"/>
    <w:rsid w:val="005D1379"/>
    <w:rsid w:val="005D400B"/>
    <w:rsid w:val="005E408F"/>
    <w:rsid w:val="005F1ED3"/>
    <w:rsid w:val="005F4920"/>
    <w:rsid w:val="006051CB"/>
    <w:rsid w:val="00614D3C"/>
    <w:rsid w:val="006173FA"/>
    <w:rsid w:val="00627623"/>
    <w:rsid w:val="00630279"/>
    <w:rsid w:val="00631E60"/>
    <w:rsid w:val="00636355"/>
    <w:rsid w:val="0065620E"/>
    <w:rsid w:val="006862CE"/>
    <w:rsid w:val="00693646"/>
    <w:rsid w:val="006A1FA0"/>
    <w:rsid w:val="006C35FD"/>
    <w:rsid w:val="006C43C4"/>
    <w:rsid w:val="006C6F5F"/>
    <w:rsid w:val="006D27D4"/>
    <w:rsid w:val="006D3F7D"/>
    <w:rsid w:val="006F0676"/>
    <w:rsid w:val="006F2F07"/>
    <w:rsid w:val="00706B3C"/>
    <w:rsid w:val="0071650A"/>
    <w:rsid w:val="00717F7C"/>
    <w:rsid w:val="00722D58"/>
    <w:rsid w:val="007370E8"/>
    <w:rsid w:val="00747101"/>
    <w:rsid w:val="00752CFA"/>
    <w:rsid w:val="00770531"/>
    <w:rsid w:val="00774813"/>
    <w:rsid w:val="007A6B61"/>
    <w:rsid w:val="007B7EC7"/>
    <w:rsid w:val="007C0EC2"/>
    <w:rsid w:val="007C5D57"/>
    <w:rsid w:val="007E18AD"/>
    <w:rsid w:val="00820DA3"/>
    <w:rsid w:val="00827922"/>
    <w:rsid w:val="00832E6D"/>
    <w:rsid w:val="0083708B"/>
    <w:rsid w:val="0085166C"/>
    <w:rsid w:val="00856692"/>
    <w:rsid w:val="008668E1"/>
    <w:rsid w:val="008727EB"/>
    <w:rsid w:val="00887450"/>
    <w:rsid w:val="008A64D2"/>
    <w:rsid w:val="008B0989"/>
    <w:rsid w:val="008B434F"/>
    <w:rsid w:val="008E368A"/>
    <w:rsid w:val="0090158F"/>
    <w:rsid w:val="009158FC"/>
    <w:rsid w:val="009506EE"/>
    <w:rsid w:val="00952787"/>
    <w:rsid w:val="009710BC"/>
    <w:rsid w:val="009715B0"/>
    <w:rsid w:val="00977C21"/>
    <w:rsid w:val="00997C80"/>
    <w:rsid w:val="009A3C33"/>
    <w:rsid w:val="009B581E"/>
    <w:rsid w:val="009D324F"/>
    <w:rsid w:val="009D5BB9"/>
    <w:rsid w:val="009E64A4"/>
    <w:rsid w:val="009F420A"/>
    <w:rsid w:val="009F5419"/>
    <w:rsid w:val="00A11FBB"/>
    <w:rsid w:val="00A50826"/>
    <w:rsid w:val="00A55E4D"/>
    <w:rsid w:val="00A6221E"/>
    <w:rsid w:val="00A96C88"/>
    <w:rsid w:val="00AC18A4"/>
    <w:rsid w:val="00AD277A"/>
    <w:rsid w:val="00AE6038"/>
    <w:rsid w:val="00B133B9"/>
    <w:rsid w:val="00B21F0C"/>
    <w:rsid w:val="00B26013"/>
    <w:rsid w:val="00B3321A"/>
    <w:rsid w:val="00B34EA8"/>
    <w:rsid w:val="00B46A4E"/>
    <w:rsid w:val="00B47527"/>
    <w:rsid w:val="00B577C5"/>
    <w:rsid w:val="00B83534"/>
    <w:rsid w:val="00B9424B"/>
    <w:rsid w:val="00B97C27"/>
    <w:rsid w:val="00BB5E42"/>
    <w:rsid w:val="00BE437D"/>
    <w:rsid w:val="00BE6F32"/>
    <w:rsid w:val="00BF6981"/>
    <w:rsid w:val="00BF6FD4"/>
    <w:rsid w:val="00C12939"/>
    <w:rsid w:val="00C23ABB"/>
    <w:rsid w:val="00C2657F"/>
    <w:rsid w:val="00C30329"/>
    <w:rsid w:val="00C325A1"/>
    <w:rsid w:val="00C56904"/>
    <w:rsid w:val="00C8361E"/>
    <w:rsid w:val="00CB3466"/>
    <w:rsid w:val="00CC75AD"/>
    <w:rsid w:val="00CE05CC"/>
    <w:rsid w:val="00CE7993"/>
    <w:rsid w:val="00CF0639"/>
    <w:rsid w:val="00D030A2"/>
    <w:rsid w:val="00D242FE"/>
    <w:rsid w:val="00D44E94"/>
    <w:rsid w:val="00D469DA"/>
    <w:rsid w:val="00D65E90"/>
    <w:rsid w:val="00D82079"/>
    <w:rsid w:val="00DA4564"/>
    <w:rsid w:val="00DA66B6"/>
    <w:rsid w:val="00DC2A42"/>
    <w:rsid w:val="00DC47ED"/>
    <w:rsid w:val="00DC7867"/>
    <w:rsid w:val="00DF4F21"/>
    <w:rsid w:val="00E10C09"/>
    <w:rsid w:val="00E12EBA"/>
    <w:rsid w:val="00E211B0"/>
    <w:rsid w:val="00E4797D"/>
    <w:rsid w:val="00E615CF"/>
    <w:rsid w:val="00E6758B"/>
    <w:rsid w:val="00E7213F"/>
    <w:rsid w:val="00E7299C"/>
    <w:rsid w:val="00E775F7"/>
    <w:rsid w:val="00E96B91"/>
    <w:rsid w:val="00EA6D8A"/>
    <w:rsid w:val="00EB4CD3"/>
    <w:rsid w:val="00EC06FB"/>
    <w:rsid w:val="00EE5B20"/>
    <w:rsid w:val="00EF4CD1"/>
    <w:rsid w:val="00F12EA0"/>
    <w:rsid w:val="00F17536"/>
    <w:rsid w:val="00FA65C6"/>
    <w:rsid w:val="00FB44DA"/>
    <w:rsid w:val="00FB745B"/>
    <w:rsid w:val="00FE5652"/>
    <w:rsid w:val="00FE6256"/>
    <w:rsid w:val="00FF533E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27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5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DG\PMS\COMMON\CABSUB\Completed\Radiation%20Safety%20Bill\Attachment%203_Proactive%20release_Final_200911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3_Proactive release_Final_20091113.dot</Template>
  <TotalTime>0</TotalTime>
  <Pages>1</Pages>
  <Words>296</Words>
  <Characters>1764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2059</CharactersWithSpaces>
  <SharedDoc>false</SharedDoc>
  <HyperlinkBase>https://www.cabinet.qld.gov.au/documents/2009/Nov/Radiation Safety Bill 09/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2010-10-08T10:20:00Z</cp:lastPrinted>
  <dcterms:created xsi:type="dcterms:W3CDTF">2017-10-24T22:02:00Z</dcterms:created>
  <dcterms:modified xsi:type="dcterms:W3CDTF">2018-03-06T00:58:00Z</dcterms:modified>
  <cp:category>Legislation,Security,COAG</cp:category>
</cp:coreProperties>
</file>